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5D" w:rsidRPr="001D503C" w:rsidRDefault="0089295D" w:rsidP="0089295D">
      <w:pPr>
        <w:jc w:val="center"/>
      </w:pPr>
      <w:bookmarkStart w:id="0" w:name="_GoBack"/>
      <w:bookmarkEnd w:id="0"/>
      <w:r>
        <w:rPr>
          <w:b/>
          <w:color w:val="29303B"/>
        </w:rPr>
        <w:t xml:space="preserve">ECED 4690 / ECSE </w:t>
      </w:r>
      <w:r w:rsidRPr="003F09C2">
        <w:rPr>
          <w:b/>
          <w:color w:val="29303B"/>
        </w:rPr>
        <w:t>4</w:t>
      </w:r>
      <w:r>
        <w:rPr>
          <w:b/>
          <w:color w:val="29303B"/>
        </w:rPr>
        <w:t>3</w:t>
      </w:r>
      <w:r w:rsidRPr="003F09C2">
        <w:rPr>
          <w:b/>
          <w:color w:val="29303B"/>
        </w:rPr>
        <w:t>90 Lesson Analysis and Reflection Rubric</w:t>
      </w:r>
      <w:r w:rsidRPr="003F09C2">
        <w:rPr>
          <w:b/>
          <w:color w:val="29303B"/>
        </w:rPr>
        <w:br/>
      </w:r>
      <w:r w:rsidRPr="003F09C2">
        <w:rPr>
          <w:b/>
          <w:i/>
        </w:rPr>
        <w:t>Lesson Analysis and Reflection EDL</w:t>
      </w:r>
      <w:r>
        <w:rPr>
          <w:b/>
          <w:i/>
          <w:vertAlign w:val="subscript"/>
        </w:rPr>
        <w:t>3</w:t>
      </w:r>
      <w:r w:rsidRPr="003F09C2">
        <w:rPr>
          <w:b/>
          <w:i/>
          <w:vertAlign w:val="subscript"/>
        </w:rPr>
        <w:t>a</w:t>
      </w:r>
      <w:r w:rsidRPr="003F09C2">
        <w:rPr>
          <w:b/>
          <w:i/>
        </w:rPr>
        <w:t xml:space="preserve"> is a required Proficiency Level Assessmen</w:t>
      </w:r>
      <w:r>
        <w:rPr>
          <w:b/>
          <w:i/>
        </w:rPr>
        <w:t>t and should not be modified or</w:t>
      </w:r>
      <w:r>
        <w:rPr>
          <w:b/>
          <w:i/>
        </w:rPr>
        <w:br/>
      </w:r>
      <w:r w:rsidRPr="003F09C2">
        <w:rPr>
          <w:b/>
          <w:i/>
        </w:rPr>
        <w:t>removed from this course without the approval of the program faculty.</w:t>
      </w:r>
    </w:p>
    <w:p w:rsidR="00A425A2" w:rsidRPr="00972422" w:rsidRDefault="0089295D" w:rsidP="0089295D">
      <w:pPr>
        <w:pStyle w:val="NormalWeb"/>
        <w:shd w:val="clear" w:color="auto" w:fill="FFFFFF"/>
        <w:spacing w:after="0" w:line="240" w:lineRule="auto"/>
        <w:contextualSpacing/>
        <w:rPr>
          <w:rFonts w:asciiTheme="minorHAnsi" w:hAnsiTheme="minorHAnsi"/>
          <w:sz w:val="22"/>
          <w:szCs w:val="22"/>
        </w:rPr>
      </w:pPr>
      <w:r w:rsidRPr="00972422">
        <w:rPr>
          <w:rFonts w:asciiTheme="minorHAnsi" w:eastAsia="Calibri" w:hAnsiTheme="minorHAnsi"/>
          <w:sz w:val="22"/>
          <w:szCs w:val="22"/>
        </w:rPr>
        <w:t xml:space="preserve">As assigned by the university supervisor, the teacher candidate will complete a lesson reflection activity in LiveText. The purpose of this activity is to engage in ongoing analysis and reflection to improve future planning and teaching practice. </w:t>
      </w:r>
      <w:r w:rsidRPr="00972422">
        <w:rPr>
          <w:rFonts w:asciiTheme="minorHAnsi" w:hAnsiTheme="minorHAnsi"/>
          <w:sz w:val="22"/>
          <w:szCs w:val="22"/>
        </w:rPr>
        <w:t>Candidates will provide a written analysis of instructional planning and implementation effectiveness. Candidates will be expected to provide evidence of A) ongoing analysis of teaching across lessons, B) a collaborative effort to support student learning outcomes, and C) use of assessment data to substantiate future instructional decisions during field experience.</w:t>
      </w:r>
      <w:r w:rsidR="00972422" w:rsidRPr="00972422">
        <w:rPr>
          <w:rFonts w:asciiTheme="minorHAnsi" w:hAnsiTheme="minorHAnsi"/>
          <w:sz w:val="22"/>
          <w:szCs w:val="22"/>
        </w:rPr>
        <w:t xml:space="preserve"> </w:t>
      </w:r>
      <w:r w:rsidRPr="00972422">
        <w:rPr>
          <w:rFonts w:asciiTheme="minorHAnsi" w:hAnsiTheme="minorHAnsi"/>
          <w:sz w:val="22"/>
          <w:szCs w:val="22"/>
          <w:u w:val="single"/>
        </w:rPr>
        <w:t>For this assignment, the teacher candidate is required to complete the Lesson Reflection template in the Lesson Analysis and Reflection EDL</w:t>
      </w:r>
      <w:r w:rsidRPr="00972422">
        <w:rPr>
          <w:rFonts w:asciiTheme="minorHAnsi" w:hAnsiTheme="minorHAnsi"/>
          <w:sz w:val="22"/>
          <w:szCs w:val="22"/>
          <w:u w:val="single"/>
          <w:vertAlign w:val="subscript"/>
        </w:rPr>
        <w:t>3a</w:t>
      </w:r>
      <w:r w:rsidRPr="00972422">
        <w:rPr>
          <w:rFonts w:asciiTheme="minorHAnsi" w:hAnsiTheme="minorHAnsi"/>
          <w:sz w:val="22"/>
          <w:szCs w:val="22"/>
          <w:u w:val="single"/>
        </w:rPr>
        <w:t xml:space="preserve"> Dashboard in LiveText</w:t>
      </w:r>
      <w:r w:rsidRPr="00972422">
        <w:rPr>
          <w:rFonts w:asciiTheme="minorHAnsi" w:hAnsiTheme="minorHAnsi"/>
          <w:sz w:val="22"/>
          <w:szCs w:val="22"/>
        </w:rPr>
        <w:t xml:space="preserve">. The university supervisor will then complete the EDL3a Lesson Analysis and Reflection Rubric in LiveText. Complete directions and template are located in LiveText. </w:t>
      </w:r>
      <w:r w:rsidRPr="00972422">
        <w:rPr>
          <w:rFonts w:asciiTheme="minorHAnsi" w:hAnsiTheme="minorHAnsi"/>
          <w:sz w:val="22"/>
          <w:szCs w:val="22"/>
        </w:rPr>
        <w:br/>
      </w:r>
    </w:p>
    <w:tbl>
      <w:tblPr>
        <w:tblStyle w:val="TableGrid"/>
        <w:tblW w:w="0" w:type="auto"/>
        <w:tblLook w:val="04A0" w:firstRow="1" w:lastRow="0" w:firstColumn="1" w:lastColumn="0" w:noHBand="0" w:noVBand="1"/>
      </w:tblPr>
      <w:tblGrid>
        <w:gridCol w:w="1490"/>
        <w:gridCol w:w="2381"/>
        <w:gridCol w:w="2382"/>
        <w:gridCol w:w="2381"/>
        <w:gridCol w:w="2382"/>
      </w:tblGrid>
      <w:tr w:rsidR="00D140C6" w:rsidTr="00D140C6">
        <w:tc>
          <w:tcPr>
            <w:tcW w:w="1490" w:type="dxa"/>
          </w:tcPr>
          <w:p w:rsidR="00D140C6" w:rsidRPr="00050CFB" w:rsidRDefault="00D140C6" w:rsidP="00473ECF">
            <w:pPr>
              <w:jc w:val="center"/>
              <w:rPr>
                <w:b/>
                <w:i/>
              </w:rPr>
            </w:pPr>
            <w:r w:rsidRPr="00050CFB">
              <w:rPr>
                <w:b/>
                <w:i/>
              </w:rPr>
              <w:t>Criteria</w:t>
            </w:r>
          </w:p>
        </w:tc>
        <w:tc>
          <w:tcPr>
            <w:tcW w:w="2381" w:type="dxa"/>
          </w:tcPr>
          <w:p w:rsidR="00D140C6" w:rsidRPr="00050CFB" w:rsidRDefault="00D140C6" w:rsidP="00473ECF">
            <w:pPr>
              <w:jc w:val="center"/>
              <w:rPr>
                <w:b/>
                <w:i/>
              </w:rPr>
            </w:pPr>
            <w:r w:rsidRPr="00050CFB">
              <w:rPr>
                <w:b/>
                <w:i/>
              </w:rPr>
              <w:t xml:space="preserve">Does Not Meet </w:t>
            </w:r>
          </w:p>
          <w:p w:rsidR="00D140C6" w:rsidRPr="00050CFB" w:rsidRDefault="00D140C6" w:rsidP="00473ECF">
            <w:pPr>
              <w:jc w:val="center"/>
              <w:rPr>
                <w:b/>
                <w:i/>
              </w:rPr>
            </w:pPr>
            <w:r>
              <w:rPr>
                <w:b/>
                <w:i/>
              </w:rPr>
              <w:t>0</w:t>
            </w:r>
          </w:p>
        </w:tc>
        <w:tc>
          <w:tcPr>
            <w:tcW w:w="2382" w:type="dxa"/>
          </w:tcPr>
          <w:p w:rsidR="00D140C6" w:rsidRPr="00050CFB" w:rsidRDefault="00D140C6" w:rsidP="00473ECF">
            <w:pPr>
              <w:jc w:val="center"/>
              <w:rPr>
                <w:b/>
                <w:i/>
              </w:rPr>
            </w:pPr>
            <w:r w:rsidRPr="00050CFB">
              <w:rPr>
                <w:b/>
                <w:i/>
              </w:rPr>
              <w:t>Developing</w:t>
            </w:r>
          </w:p>
          <w:p w:rsidR="00D140C6" w:rsidRPr="00050CFB" w:rsidRDefault="00D140C6" w:rsidP="00473ECF">
            <w:pPr>
              <w:jc w:val="center"/>
              <w:rPr>
                <w:b/>
                <w:i/>
              </w:rPr>
            </w:pPr>
            <w:r>
              <w:rPr>
                <w:b/>
                <w:i/>
              </w:rPr>
              <w:t>60</w:t>
            </w:r>
          </w:p>
        </w:tc>
        <w:tc>
          <w:tcPr>
            <w:tcW w:w="2381" w:type="dxa"/>
          </w:tcPr>
          <w:p w:rsidR="00D140C6" w:rsidRPr="00050CFB" w:rsidRDefault="00D140C6" w:rsidP="00473ECF">
            <w:pPr>
              <w:jc w:val="center"/>
              <w:rPr>
                <w:b/>
                <w:i/>
              </w:rPr>
            </w:pPr>
            <w:r>
              <w:rPr>
                <w:b/>
                <w:i/>
              </w:rPr>
              <w:t>Meets</w:t>
            </w:r>
          </w:p>
          <w:p w:rsidR="00D140C6" w:rsidRPr="00050CFB" w:rsidRDefault="00D140C6" w:rsidP="00473ECF">
            <w:pPr>
              <w:jc w:val="center"/>
              <w:rPr>
                <w:b/>
                <w:i/>
              </w:rPr>
            </w:pPr>
            <w:r>
              <w:rPr>
                <w:b/>
                <w:i/>
              </w:rPr>
              <w:t>80</w:t>
            </w:r>
          </w:p>
        </w:tc>
        <w:tc>
          <w:tcPr>
            <w:tcW w:w="2382" w:type="dxa"/>
          </w:tcPr>
          <w:p w:rsidR="00D140C6" w:rsidRDefault="00D140C6" w:rsidP="00473ECF">
            <w:pPr>
              <w:jc w:val="center"/>
              <w:rPr>
                <w:b/>
                <w:i/>
              </w:rPr>
            </w:pPr>
            <w:r>
              <w:rPr>
                <w:b/>
                <w:i/>
              </w:rPr>
              <w:t>Exceeds</w:t>
            </w:r>
          </w:p>
          <w:p w:rsidR="00D140C6" w:rsidRPr="00050CFB" w:rsidRDefault="00D140C6" w:rsidP="00473ECF">
            <w:pPr>
              <w:jc w:val="center"/>
              <w:rPr>
                <w:b/>
                <w:i/>
              </w:rPr>
            </w:pPr>
            <w:r>
              <w:rPr>
                <w:b/>
                <w:i/>
              </w:rPr>
              <w:t>100</w:t>
            </w:r>
          </w:p>
        </w:tc>
      </w:tr>
      <w:tr w:rsidR="00D140C6" w:rsidTr="00D140C6">
        <w:tc>
          <w:tcPr>
            <w:tcW w:w="1490" w:type="dxa"/>
          </w:tcPr>
          <w:p w:rsidR="00EF6FCF" w:rsidRDefault="00EF6FCF">
            <w:pPr>
              <w:rPr>
                <w:b/>
              </w:rPr>
            </w:pPr>
            <w:r>
              <w:rPr>
                <w:b/>
              </w:rPr>
              <w:t>Ongoing</w:t>
            </w:r>
          </w:p>
          <w:p w:rsidR="00D140C6" w:rsidRDefault="00D140C6">
            <w:pPr>
              <w:rPr>
                <w:b/>
              </w:rPr>
            </w:pPr>
            <w:r w:rsidRPr="00473ECF">
              <w:rPr>
                <w:b/>
              </w:rPr>
              <w:t xml:space="preserve">Analysis of </w:t>
            </w:r>
            <w:r w:rsidR="00EF6FCF">
              <w:rPr>
                <w:b/>
              </w:rPr>
              <w:t>Teaching</w:t>
            </w:r>
          </w:p>
          <w:p w:rsidR="00D140C6" w:rsidRPr="00473ECF" w:rsidRDefault="00D140C6">
            <w:pPr>
              <w:rPr>
                <w:b/>
              </w:rPr>
            </w:pPr>
            <w:r>
              <w:rPr>
                <w:b/>
              </w:rPr>
              <w:t>30%</w:t>
            </w:r>
          </w:p>
        </w:tc>
        <w:tc>
          <w:tcPr>
            <w:tcW w:w="2381" w:type="dxa"/>
          </w:tcPr>
          <w:p w:rsidR="00D140C6" w:rsidRDefault="00D140C6" w:rsidP="00D140C6">
            <w:r>
              <w:t xml:space="preserve">Does not demonstrate self-awareness or an honest self-evaluation of </w:t>
            </w:r>
            <w:r w:rsidR="00EF6FCF">
              <w:t>instructional</w:t>
            </w:r>
            <w:r>
              <w:t xml:space="preserve"> planning and teaching</w:t>
            </w:r>
          </w:p>
          <w:p w:rsidR="00D140C6" w:rsidRDefault="00D140C6" w:rsidP="00D140C6"/>
          <w:p w:rsidR="00D140C6" w:rsidRDefault="00D140C6" w:rsidP="00EF6FCF">
            <w:r>
              <w:t xml:space="preserve">Lacks </w:t>
            </w:r>
            <w:r w:rsidR="00EF6FCF">
              <w:t>application of reflection in discussions related to future instructional planning.</w:t>
            </w:r>
            <w:r>
              <w:t xml:space="preserve">  </w:t>
            </w:r>
          </w:p>
        </w:tc>
        <w:tc>
          <w:tcPr>
            <w:tcW w:w="2382" w:type="dxa"/>
          </w:tcPr>
          <w:p w:rsidR="00D140C6" w:rsidRDefault="00D140C6" w:rsidP="00D140C6">
            <w:r>
              <w:t xml:space="preserve">Attempts to analyze aspects of </w:t>
            </w:r>
            <w:r w:rsidR="00EF6FCF">
              <w:t>instructional planning</w:t>
            </w:r>
            <w:r>
              <w:t xml:space="preserve"> but </w:t>
            </w:r>
            <w:r w:rsidR="00EF6FCF">
              <w:t>lacks emphasis on improving practice</w:t>
            </w:r>
          </w:p>
          <w:p w:rsidR="00D140C6" w:rsidRDefault="00D140C6" w:rsidP="00D140C6"/>
          <w:p w:rsidR="00D140C6" w:rsidRDefault="00EF6FCF" w:rsidP="00EF6FCF">
            <w:r>
              <w:t>Applies reflection in discussions related to future instructional planning</w:t>
            </w:r>
            <w:r w:rsidR="00D140C6">
              <w:t xml:space="preserve">.  </w:t>
            </w:r>
          </w:p>
        </w:tc>
        <w:tc>
          <w:tcPr>
            <w:tcW w:w="2381" w:type="dxa"/>
          </w:tcPr>
          <w:p w:rsidR="00EF6FCF" w:rsidRDefault="00EF6FCF" w:rsidP="00EF6FCF">
            <w:r>
              <w:t>Analyzes aspects of instructional planning with emphasis on improving practice</w:t>
            </w:r>
          </w:p>
          <w:p w:rsidR="00EF6FCF" w:rsidRDefault="00EF6FCF" w:rsidP="00EF6FCF"/>
          <w:p w:rsidR="00D140C6" w:rsidRDefault="00EF6FCF" w:rsidP="00EF6FCF">
            <w:r>
              <w:t xml:space="preserve">Consistently applies reflection in discussions related to future instructional planning.  </w:t>
            </w:r>
          </w:p>
        </w:tc>
        <w:tc>
          <w:tcPr>
            <w:tcW w:w="2382" w:type="dxa"/>
          </w:tcPr>
          <w:p w:rsidR="00CA4C88" w:rsidRDefault="00CA4C88" w:rsidP="00CA4C88">
            <w:r>
              <w:t>Thoroughly analyzes aspects of instructional planning with emphasis on improving practice for whole/small group learning and to meet the needs of individual learners</w:t>
            </w:r>
          </w:p>
          <w:p w:rsidR="00CA4C88" w:rsidRDefault="00CA4C88" w:rsidP="00CA4C88"/>
          <w:p w:rsidR="00D140C6" w:rsidRDefault="00CA4C88" w:rsidP="00CA4C88">
            <w:r>
              <w:t xml:space="preserve">Consistently applies reflection in discussions related to future instructional planning.  </w:t>
            </w:r>
          </w:p>
        </w:tc>
      </w:tr>
      <w:tr w:rsidR="00D140C6" w:rsidTr="00D140C6">
        <w:tc>
          <w:tcPr>
            <w:tcW w:w="1490" w:type="dxa"/>
          </w:tcPr>
          <w:p w:rsidR="00D140C6" w:rsidRDefault="00CA4C88">
            <w:pPr>
              <w:rPr>
                <w:b/>
              </w:rPr>
            </w:pPr>
            <w:r>
              <w:rPr>
                <w:b/>
              </w:rPr>
              <w:t>Collaborative Effort to Support Student Learning Outcomes</w:t>
            </w:r>
          </w:p>
          <w:p w:rsidR="00D140C6" w:rsidRPr="00473ECF" w:rsidRDefault="00D140C6">
            <w:pPr>
              <w:rPr>
                <w:b/>
              </w:rPr>
            </w:pPr>
            <w:r>
              <w:rPr>
                <w:b/>
              </w:rPr>
              <w:t>30%</w:t>
            </w:r>
          </w:p>
        </w:tc>
        <w:tc>
          <w:tcPr>
            <w:tcW w:w="2381" w:type="dxa"/>
          </w:tcPr>
          <w:p w:rsidR="00D140C6" w:rsidRDefault="00D140C6" w:rsidP="00D140C6">
            <w:r>
              <w:t>Does not reflect on</w:t>
            </w:r>
            <w:r w:rsidR="00AA38CC">
              <w:t xml:space="preserve"> the role of</w:t>
            </w:r>
            <w:r>
              <w:t xml:space="preserve"> </w:t>
            </w:r>
            <w:r w:rsidR="00AA38CC" w:rsidRPr="00AA38CC">
              <w:t>learners, families, colleagues and the local community</w:t>
            </w:r>
            <w:r w:rsidR="00AA38CC">
              <w:t xml:space="preserve"> when analyzing instructional effectiveness.</w:t>
            </w:r>
          </w:p>
          <w:p w:rsidR="00AA38CC" w:rsidRDefault="00AA38CC" w:rsidP="00D140C6"/>
          <w:p w:rsidR="00D140C6" w:rsidRDefault="00D140C6" w:rsidP="00D140C6"/>
        </w:tc>
        <w:tc>
          <w:tcPr>
            <w:tcW w:w="2382" w:type="dxa"/>
          </w:tcPr>
          <w:p w:rsidR="00AA38CC" w:rsidRDefault="00AA38CC" w:rsidP="00AA38CC">
            <w:r>
              <w:t xml:space="preserve">Reflects on the role of </w:t>
            </w:r>
            <w:r w:rsidRPr="00AA38CC">
              <w:t>learners, families, colleagues and</w:t>
            </w:r>
            <w:r>
              <w:t>/or</w:t>
            </w:r>
            <w:r w:rsidRPr="00AA38CC">
              <w:t xml:space="preserve"> the local community</w:t>
            </w:r>
            <w:r>
              <w:t xml:space="preserve"> when analyzing instructional effectiveness.</w:t>
            </w:r>
          </w:p>
          <w:p w:rsidR="00D140C6" w:rsidRDefault="00D140C6" w:rsidP="00D140C6"/>
        </w:tc>
        <w:tc>
          <w:tcPr>
            <w:tcW w:w="2381" w:type="dxa"/>
          </w:tcPr>
          <w:p w:rsidR="00AA38CC" w:rsidRDefault="00AA38CC" w:rsidP="00AA38CC">
            <w:r>
              <w:t xml:space="preserve">Reflects on the role of </w:t>
            </w:r>
            <w:r w:rsidRPr="00AA38CC">
              <w:t>learners, families, colleagues and the local community</w:t>
            </w:r>
            <w:r>
              <w:t xml:space="preserve"> when analyzing instructional effectiveness.</w:t>
            </w:r>
          </w:p>
          <w:p w:rsidR="00D140C6" w:rsidRDefault="00D140C6" w:rsidP="00D140C6"/>
        </w:tc>
        <w:tc>
          <w:tcPr>
            <w:tcW w:w="2382" w:type="dxa"/>
          </w:tcPr>
          <w:p w:rsidR="00AA38CC" w:rsidRDefault="00AA38CC" w:rsidP="00AA38CC">
            <w:r>
              <w:t xml:space="preserve">Continually reflects on the role of </w:t>
            </w:r>
            <w:r w:rsidRPr="00AA38CC">
              <w:t>learners, families, colleagues and the local community</w:t>
            </w:r>
            <w:r>
              <w:t xml:space="preserve"> when analyzing instructional effectiveness.</w:t>
            </w:r>
          </w:p>
          <w:p w:rsidR="00AA38CC" w:rsidRDefault="00AA38CC" w:rsidP="00AA38CC"/>
          <w:p w:rsidR="00D140C6" w:rsidRDefault="00AA38CC" w:rsidP="00A425A2">
            <w:r>
              <w:t>Develops a plan for collaboration to improve student learning outcomes.</w:t>
            </w:r>
          </w:p>
        </w:tc>
      </w:tr>
      <w:tr w:rsidR="00D140C6" w:rsidTr="00D140C6">
        <w:tc>
          <w:tcPr>
            <w:tcW w:w="1490" w:type="dxa"/>
          </w:tcPr>
          <w:p w:rsidR="00D140C6" w:rsidRDefault="009468C9">
            <w:pPr>
              <w:rPr>
                <w:b/>
              </w:rPr>
            </w:pPr>
            <w:r>
              <w:rPr>
                <w:b/>
              </w:rPr>
              <w:t>Use of Assessment Data to Substantiate Future Instructional Decisions</w:t>
            </w:r>
          </w:p>
          <w:p w:rsidR="00D140C6" w:rsidRPr="00473ECF" w:rsidRDefault="00A2185D">
            <w:pPr>
              <w:rPr>
                <w:b/>
              </w:rPr>
            </w:pPr>
            <w:r>
              <w:rPr>
                <w:b/>
              </w:rPr>
              <w:t>4</w:t>
            </w:r>
            <w:r w:rsidR="00D140C6">
              <w:rPr>
                <w:b/>
              </w:rPr>
              <w:t>0%</w:t>
            </w:r>
          </w:p>
        </w:tc>
        <w:tc>
          <w:tcPr>
            <w:tcW w:w="2381" w:type="dxa"/>
          </w:tcPr>
          <w:p w:rsidR="00D140C6" w:rsidRDefault="00A425A2" w:rsidP="001E5C60">
            <w:r>
              <w:t>Does not substantiate future instructional decisions with relevant assessment data</w:t>
            </w:r>
          </w:p>
          <w:p w:rsidR="00A425A2" w:rsidRDefault="00A425A2" w:rsidP="001E5C60"/>
          <w:p w:rsidR="00A425A2" w:rsidRDefault="00A425A2" w:rsidP="001E5C60"/>
        </w:tc>
        <w:tc>
          <w:tcPr>
            <w:tcW w:w="2382" w:type="dxa"/>
          </w:tcPr>
          <w:p w:rsidR="00A425A2" w:rsidRDefault="00A425A2" w:rsidP="00A425A2">
            <w:r>
              <w:t>Substantiates future instructional decisions with some assessment data</w:t>
            </w:r>
          </w:p>
          <w:p w:rsidR="00D140C6" w:rsidRDefault="00D140C6" w:rsidP="001E5C60"/>
        </w:tc>
        <w:tc>
          <w:tcPr>
            <w:tcW w:w="2381" w:type="dxa"/>
          </w:tcPr>
          <w:p w:rsidR="00A425A2" w:rsidRDefault="00A425A2" w:rsidP="00A425A2">
            <w:r>
              <w:t>Substantiates future instructional decisions with relevant assessment data with an emphasis on improving whole class learning</w:t>
            </w:r>
          </w:p>
          <w:p w:rsidR="00D140C6" w:rsidRDefault="00D140C6" w:rsidP="001E5C60"/>
        </w:tc>
        <w:tc>
          <w:tcPr>
            <w:tcW w:w="2382" w:type="dxa"/>
          </w:tcPr>
          <w:p w:rsidR="00D140C6" w:rsidRDefault="00A425A2" w:rsidP="001E5C60">
            <w:r>
              <w:t>Substantiates future instructional decisions with relevant formative, summative, and diagnostic assessment data with an emphasis on providing tailored learning experiences to meet the varied needs of learners in the elementary classroom</w:t>
            </w:r>
          </w:p>
        </w:tc>
      </w:tr>
    </w:tbl>
    <w:p w:rsidR="00AD61AD" w:rsidRDefault="00AD61AD" w:rsidP="001E5C60"/>
    <w:sectPr w:rsidR="00AD61AD" w:rsidSect="00050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F07"/>
    <w:multiLevelType w:val="multilevel"/>
    <w:tmpl w:val="E66A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644D3F"/>
    <w:multiLevelType w:val="multilevel"/>
    <w:tmpl w:val="64E4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45"/>
    <w:rsid w:val="0004691F"/>
    <w:rsid w:val="00050CFB"/>
    <w:rsid w:val="000F4EF5"/>
    <w:rsid w:val="001B0815"/>
    <w:rsid w:val="001E5C60"/>
    <w:rsid w:val="00434675"/>
    <w:rsid w:val="00453C08"/>
    <w:rsid w:val="00473ECF"/>
    <w:rsid w:val="004B594D"/>
    <w:rsid w:val="00623FBA"/>
    <w:rsid w:val="007809F7"/>
    <w:rsid w:val="008414E8"/>
    <w:rsid w:val="0089295D"/>
    <w:rsid w:val="008F7C78"/>
    <w:rsid w:val="009468C9"/>
    <w:rsid w:val="00972422"/>
    <w:rsid w:val="00982D45"/>
    <w:rsid w:val="00A2185D"/>
    <w:rsid w:val="00A425A2"/>
    <w:rsid w:val="00AA38CC"/>
    <w:rsid w:val="00AD61AD"/>
    <w:rsid w:val="00BE541F"/>
    <w:rsid w:val="00C11336"/>
    <w:rsid w:val="00CA4C88"/>
    <w:rsid w:val="00CC72FF"/>
    <w:rsid w:val="00D140C6"/>
    <w:rsid w:val="00E03799"/>
    <w:rsid w:val="00EF6FCF"/>
    <w:rsid w:val="00F01F27"/>
    <w:rsid w:val="00F83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9F7"/>
    <w:pPr>
      <w:spacing w:after="24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7809F7"/>
    <w:rPr>
      <w:b/>
      <w:bCs/>
    </w:rPr>
  </w:style>
  <w:style w:type="paragraph" w:styleId="BalloonText">
    <w:name w:val="Balloon Text"/>
    <w:basedOn w:val="Normal"/>
    <w:link w:val="BalloonTextChar"/>
    <w:uiPriority w:val="99"/>
    <w:semiHidden/>
    <w:unhideWhenUsed/>
    <w:rsid w:val="0062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A"/>
    <w:rPr>
      <w:rFonts w:ascii="Tahoma" w:hAnsi="Tahoma" w:cs="Tahoma"/>
      <w:sz w:val="16"/>
      <w:szCs w:val="16"/>
    </w:rPr>
  </w:style>
  <w:style w:type="paragraph" w:styleId="ListParagraph">
    <w:name w:val="List Paragraph"/>
    <w:basedOn w:val="Normal"/>
    <w:uiPriority w:val="34"/>
    <w:qFormat/>
    <w:rsid w:val="00D140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09F7"/>
    <w:pPr>
      <w:spacing w:after="24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7809F7"/>
    <w:rPr>
      <w:b/>
      <w:bCs/>
    </w:rPr>
  </w:style>
  <w:style w:type="paragraph" w:styleId="BalloonText">
    <w:name w:val="Balloon Text"/>
    <w:basedOn w:val="Normal"/>
    <w:link w:val="BalloonTextChar"/>
    <w:uiPriority w:val="99"/>
    <w:semiHidden/>
    <w:unhideWhenUsed/>
    <w:rsid w:val="00623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A"/>
    <w:rPr>
      <w:rFonts w:ascii="Tahoma" w:hAnsi="Tahoma" w:cs="Tahoma"/>
      <w:sz w:val="16"/>
      <w:szCs w:val="16"/>
    </w:rPr>
  </w:style>
  <w:style w:type="paragraph" w:styleId="ListParagraph">
    <w:name w:val="List Paragraph"/>
    <w:basedOn w:val="Normal"/>
    <w:uiPriority w:val="34"/>
    <w:qFormat/>
    <w:rsid w:val="00D14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667458">
      <w:bodyDiv w:val="1"/>
      <w:marLeft w:val="0"/>
      <w:marRight w:val="0"/>
      <w:marTop w:val="0"/>
      <w:marBottom w:val="0"/>
      <w:divBdr>
        <w:top w:val="none" w:sz="0" w:space="0" w:color="auto"/>
        <w:left w:val="none" w:sz="0" w:space="0" w:color="auto"/>
        <w:bottom w:val="none" w:sz="0" w:space="0" w:color="auto"/>
        <w:right w:val="none" w:sz="0" w:space="0" w:color="auto"/>
      </w:divBdr>
      <w:divsChild>
        <w:div w:id="735863739">
          <w:marLeft w:val="0"/>
          <w:marRight w:val="0"/>
          <w:marTop w:val="0"/>
          <w:marBottom w:val="0"/>
          <w:divBdr>
            <w:top w:val="none" w:sz="0" w:space="0" w:color="auto"/>
            <w:left w:val="none" w:sz="0" w:space="0" w:color="auto"/>
            <w:bottom w:val="none" w:sz="0" w:space="0" w:color="auto"/>
            <w:right w:val="none" w:sz="0" w:space="0" w:color="auto"/>
          </w:divBdr>
          <w:divsChild>
            <w:div w:id="1821464310">
              <w:marLeft w:val="0"/>
              <w:marRight w:val="0"/>
              <w:marTop w:val="0"/>
              <w:marBottom w:val="0"/>
              <w:divBdr>
                <w:top w:val="none" w:sz="0" w:space="0" w:color="auto"/>
                <w:left w:val="none" w:sz="0" w:space="0" w:color="auto"/>
                <w:bottom w:val="none" w:sz="0" w:space="0" w:color="auto"/>
                <w:right w:val="none" w:sz="0" w:space="0" w:color="auto"/>
              </w:divBdr>
              <w:divsChild>
                <w:div w:id="1208639531">
                  <w:marLeft w:val="405"/>
                  <w:marRight w:val="-75"/>
                  <w:marTop w:val="375"/>
                  <w:marBottom w:val="0"/>
                  <w:divBdr>
                    <w:top w:val="none" w:sz="0" w:space="0" w:color="auto"/>
                    <w:left w:val="none" w:sz="0" w:space="0" w:color="auto"/>
                    <w:bottom w:val="none" w:sz="0" w:space="0" w:color="auto"/>
                    <w:right w:val="none" w:sz="0" w:space="0" w:color="auto"/>
                  </w:divBdr>
                  <w:divsChild>
                    <w:div w:id="725841183">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 w:id="2014187665">
      <w:bodyDiv w:val="1"/>
      <w:marLeft w:val="0"/>
      <w:marRight w:val="0"/>
      <w:marTop w:val="0"/>
      <w:marBottom w:val="0"/>
      <w:divBdr>
        <w:top w:val="none" w:sz="0" w:space="0" w:color="auto"/>
        <w:left w:val="none" w:sz="0" w:space="0" w:color="auto"/>
        <w:bottom w:val="none" w:sz="0" w:space="0" w:color="auto"/>
        <w:right w:val="none" w:sz="0" w:space="0" w:color="auto"/>
      </w:divBdr>
      <w:divsChild>
        <w:div w:id="1699617754">
          <w:marLeft w:val="0"/>
          <w:marRight w:val="0"/>
          <w:marTop w:val="0"/>
          <w:marBottom w:val="0"/>
          <w:divBdr>
            <w:top w:val="none" w:sz="0" w:space="0" w:color="auto"/>
            <w:left w:val="none" w:sz="0" w:space="0" w:color="auto"/>
            <w:bottom w:val="none" w:sz="0" w:space="0" w:color="auto"/>
            <w:right w:val="none" w:sz="0" w:space="0" w:color="auto"/>
          </w:divBdr>
          <w:divsChild>
            <w:div w:id="78406228">
              <w:marLeft w:val="0"/>
              <w:marRight w:val="0"/>
              <w:marTop w:val="0"/>
              <w:marBottom w:val="0"/>
              <w:divBdr>
                <w:top w:val="none" w:sz="0" w:space="0" w:color="auto"/>
                <w:left w:val="none" w:sz="0" w:space="0" w:color="auto"/>
                <w:bottom w:val="none" w:sz="0" w:space="0" w:color="auto"/>
                <w:right w:val="none" w:sz="0" w:space="0" w:color="auto"/>
              </w:divBdr>
              <w:divsChild>
                <w:div w:id="1399400748">
                  <w:marLeft w:val="405"/>
                  <w:marRight w:val="-75"/>
                  <w:marTop w:val="375"/>
                  <w:marBottom w:val="0"/>
                  <w:divBdr>
                    <w:top w:val="none" w:sz="0" w:space="0" w:color="auto"/>
                    <w:left w:val="none" w:sz="0" w:space="0" w:color="auto"/>
                    <w:bottom w:val="none" w:sz="0" w:space="0" w:color="auto"/>
                    <w:right w:val="none" w:sz="0" w:space="0" w:color="auto"/>
                  </w:divBdr>
                  <w:divsChild>
                    <w:div w:id="1352295757">
                      <w:marLeft w:val="0"/>
                      <w:marRight w:val="0"/>
                      <w:marTop w:val="45"/>
                      <w:marBottom w:val="45"/>
                      <w:divBdr>
                        <w:top w:val="single" w:sz="6" w:space="8" w:color="BBC4A3"/>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2</cp:revision>
  <cp:lastPrinted>2013-08-23T16:24:00Z</cp:lastPrinted>
  <dcterms:created xsi:type="dcterms:W3CDTF">2017-08-07T00:34:00Z</dcterms:created>
  <dcterms:modified xsi:type="dcterms:W3CDTF">2017-08-07T00:34:00Z</dcterms:modified>
</cp:coreProperties>
</file>