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49" w:rsidRDefault="009D2849" w:rsidP="009D2849">
      <w:pPr>
        <w:contextualSpacing/>
        <w:jc w:val="center"/>
        <w:rPr>
          <w:b/>
          <w:sz w:val="28"/>
          <w:szCs w:val="28"/>
        </w:rPr>
      </w:pPr>
      <w:r w:rsidRPr="009D2849">
        <w:rPr>
          <w:b/>
          <w:sz w:val="28"/>
          <w:szCs w:val="28"/>
        </w:rPr>
        <w:t>Valdosta State University Part-Time Instructor Agreement Form</w:t>
      </w:r>
    </w:p>
    <w:p w:rsidR="00B8605D" w:rsidRPr="00B8605D" w:rsidRDefault="00B8605D" w:rsidP="009D2849">
      <w:pPr>
        <w:contextualSpacing/>
        <w:jc w:val="center"/>
        <w:rPr>
          <w:i/>
          <w:sz w:val="24"/>
          <w:szCs w:val="24"/>
        </w:rPr>
      </w:pPr>
      <w:r w:rsidRPr="00B8605D">
        <w:rPr>
          <w:i/>
          <w:sz w:val="24"/>
          <w:szCs w:val="24"/>
        </w:rPr>
        <w:t>Original form to be submitted to Provost Office for filing</w:t>
      </w:r>
      <w:r>
        <w:rPr>
          <w:i/>
          <w:sz w:val="24"/>
          <w:szCs w:val="24"/>
        </w:rPr>
        <w:t xml:space="preserve"> prior to first class day of semester</w:t>
      </w:r>
    </w:p>
    <w:p w:rsidR="009D2849" w:rsidRDefault="009D2849" w:rsidP="009D2849">
      <w:pPr>
        <w:contextualSpacing/>
        <w:rPr>
          <w:b/>
        </w:rPr>
      </w:pPr>
    </w:p>
    <w:tbl>
      <w:tblPr>
        <w:tblStyle w:val="TableGrid"/>
        <w:tblW w:w="0" w:type="auto"/>
        <w:tblLook w:val="04A0"/>
      </w:tblPr>
      <w:tblGrid>
        <w:gridCol w:w="6588"/>
        <w:gridCol w:w="4428"/>
      </w:tblGrid>
      <w:tr w:rsidR="009D2849" w:rsidTr="009D2849">
        <w:tc>
          <w:tcPr>
            <w:tcW w:w="6588" w:type="dxa"/>
          </w:tcPr>
          <w:p w:rsidR="009D2849" w:rsidRPr="00003AFF" w:rsidRDefault="009D2849" w:rsidP="00003AFF">
            <w:pPr>
              <w:contextualSpacing/>
            </w:pPr>
            <w:r>
              <w:rPr>
                <w:b/>
              </w:rPr>
              <w:t>To:</w:t>
            </w:r>
            <w:r w:rsidR="00003AFF">
              <w:rPr>
                <w:b/>
              </w:rPr>
              <w:t xml:space="preserve">  </w:t>
            </w:r>
          </w:p>
        </w:tc>
        <w:tc>
          <w:tcPr>
            <w:tcW w:w="4428" w:type="dxa"/>
          </w:tcPr>
          <w:p w:rsidR="009D2849" w:rsidRPr="00003AFF" w:rsidRDefault="009D2849" w:rsidP="00003AFF">
            <w:pPr>
              <w:contextualSpacing/>
            </w:pPr>
            <w:r>
              <w:rPr>
                <w:b/>
              </w:rPr>
              <w:t xml:space="preserve">Date:   </w:t>
            </w:r>
          </w:p>
        </w:tc>
      </w:tr>
    </w:tbl>
    <w:p w:rsidR="009D2849" w:rsidRDefault="009D2849" w:rsidP="009D2849">
      <w:pPr>
        <w:contextualSpacing/>
        <w:rPr>
          <w:sz w:val="20"/>
          <w:szCs w:val="20"/>
        </w:rPr>
      </w:pPr>
      <w:r>
        <w:rPr>
          <w:b/>
          <w:sz w:val="20"/>
          <w:szCs w:val="20"/>
        </w:rPr>
        <w:t xml:space="preserve">  </w:t>
      </w:r>
      <w:r w:rsidR="00003AFF">
        <w:rPr>
          <w:b/>
          <w:sz w:val="20"/>
          <w:szCs w:val="20"/>
        </w:rPr>
        <w:tab/>
      </w:r>
      <w:r>
        <w:rPr>
          <w:b/>
          <w:sz w:val="20"/>
          <w:szCs w:val="20"/>
        </w:rPr>
        <w:t xml:space="preserve"> </w:t>
      </w:r>
      <w:r>
        <w:rPr>
          <w:sz w:val="20"/>
          <w:szCs w:val="20"/>
        </w:rPr>
        <w:t>(Please print Instructor’s full name)</w:t>
      </w:r>
    </w:p>
    <w:p w:rsidR="009D2849" w:rsidRDefault="009D2849" w:rsidP="009D2849">
      <w:pPr>
        <w:contextualSpacing/>
      </w:pPr>
      <w:r>
        <w:t>Based upon this appointment, this agreement applies specifically to the credit course(s) described below:</w:t>
      </w:r>
    </w:p>
    <w:tbl>
      <w:tblPr>
        <w:tblStyle w:val="TableGrid"/>
        <w:tblW w:w="0" w:type="auto"/>
        <w:tblLook w:val="04A0"/>
      </w:tblPr>
      <w:tblGrid>
        <w:gridCol w:w="1098"/>
        <w:gridCol w:w="3060"/>
        <w:gridCol w:w="1350"/>
        <w:gridCol w:w="1836"/>
        <w:gridCol w:w="1836"/>
        <w:gridCol w:w="1836"/>
      </w:tblGrid>
      <w:tr w:rsidR="006B1FE8" w:rsidTr="006B1FE8">
        <w:tc>
          <w:tcPr>
            <w:tcW w:w="4158" w:type="dxa"/>
            <w:gridSpan w:val="2"/>
          </w:tcPr>
          <w:p w:rsidR="006B1FE8" w:rsidRPr="00003AFF" w:rsidRDefault="006B1FE8" w:rsidP="00003AFF">
            <w:pPr>
              <w:contextualSpacing/>
              <w:rPr>
                <w:b/>
              </w:rPr>
            </w:pPr>
            <w:r w:rsidRPr="00003AFF">
              <w:rPr>
                <w:b/>
              </w:rPr>
              <w:t xml:space="preserve">Term:  </w:t>
            </w:r>
            <w:r w:rsidR="00003AFF">
              <w:rPr>
                <w:b/>
              </w:rPr>
              <w:t xml:space="preserve">  </w:t>
            </w:r>
          </w:p>
        </w:tc>
        <w:tc>
          <w:tcPr>
            <w:tcW w:w="3186" w:type="dxa"/>
            <w:gridSpan w:val="2"/>
          </w:tcPr>
          <w:p w:rsidR="006B1FE8" w:rsidRPr="00003AFF" w:rsidRDefault="006B1FE8" w:rsidP="00003AFF">
            <w:pPr>
              <w:contextualSpacing/>
              <w:rPr>
                <w:b/>
              </w:rPr>
            </w:pPr>
            <w:r w:rsidRPr="00003AFF">
              <w:rPr>
                <w:b/>
              </w:rPr>
              <w:t xml:space="preserve">Begin Date:  </w:t>
            </w:r>
          </w:p>
        </w:tc>
        <w:tc>
          <w:tcPr>
            <w:tcW w:w="3672" w:type="dxa"/>
            <w:gridSpan w:val="2"/>
          </w:tcPr>
          <w:p w:rsidR="006B1FE8" w:rsidRPr="00003AFF" w:rsidRDefault="006B1FE8" w:rsidP="00003AFF">
            <w:pPr>
              <w:contextualSpacing/>
              <w:rPr>
                <w:b/>
              </w:rPr>
            </w:pPr>
            <w:r w:rsidRPr="00003AFF">
              <w:rPr>
                <w:b/>
              </w:rPr>
              <w:t xml:space="preserve">End Date:  </w:t>
            </w:r>
          </w:p>
        </w:tc>
      </w:tr>
      <w:tr w:rsidR="006B1FE8" w:rsidTr="00003AFF">
        <w:tc>
          <w:tcPr>
            <w:tcW w:w="1098" w:type="dxa"/>
            <w:shd w:val="clear" w:color="auto" w:fill="F2F2F2" w:themeFill="background1" w:themeFillShade="F2"/>
          </w:tcPr>
          <w:p w:rsidR="006B1FE8" w:rsidRPr="006B1FE8" w:rsidRDefault="006B1FE8" w:rsidP="009D2849">
            <w:pPr>
              <w:contextualSpacing/>
              <w:rPr>
                <w:b/>
              </w:rPr>
            </w:pPr>
            <w:r w:rsidRPr="006B1FE8">
              <w:rPr>
                <w:b/>
              </w:rPr>
              <w:t>CRN</w:t>
            </w:r>
          </w:p>
        </w:tc>
        <w:tc>
          <w:tcPr>
            <w:tcW w:w="3060" w:type="dxa"/>
            <w:shd w:val="clear" w:color="auto" w:fill="F2F2F2" w:themeFill="background1" w:themeFillShade="F2"/>
          </w:tcPr>
          <w:p w:rsidR="006B1FE8" w:rsidRPr="006B1FE8" w:rsidRDefault="006B1FE8" w:rsidP="009D2849">
            <w:pPr>
              <w:contextualSpacing/>
              <w:rPr>
                <w:b/>
              </w:rPr>
            </w:pPr>
            <w:r w:rsidRPr="006B1FE8">
              <w:rPr>
                <w:b/>
              </w:rPr>
              <w:t>Course</w:t>
            </w:r>
          </w:p>
        </w:tc>
        <w:tc>
          <w:tcPr>
            <w:tcW w:w="1350" w:type="dxa"/>
            <w:shd w:val="clear" w:color="auto" w:fill="F2F2F2" w:themeFill="background1" w:themeFillShade="F2"/>
          </w:tcPr>
          <w:p w:rsidR="006B1FE8" w:rsidRPr="006B1FE8" w:rsidRDefault="006B1FE8" w:rsidP="009D2849">
            <w:pPr>
              <w:contextualSpacing/>
              <w:rPr>
                <w:b/>
              </w:rPr>
            </w:pPr>
            <w:r w:rsidRPr="006B1FE8">
              <w:rPr>
                <w:b/>
              </w:rPr>
              <w:t>Days</w:t>
            </w:r>
          </w:p>
        </w:tc>
        <w:tc>
          <w:tcPr>
            <w:tcW w:w="1836" w:type="dxa"/>
            <w:shd w:val="clear" w:color="auto" w:fill="F2F2F2" w:themeFill="background1" w:themeFillShade="F2"/>
          </w:tcPr>
          <w:p w:rsidR="006B1FE8" w:rsidRPr="006B1FE8" w:rsidRDefault="006B1FE8" w:rsidP="009D2849">
            <w:pPr>
              <w:contextualSpacing/>
              <w:rPr>
                <w:b/>
              </w:rPr>
            </w:pPr>
            <w:r w:rsidRPr="006B1FE8">
              <w:rPr>
                <w:b/>
              </w:rPr>
              <w:t>Times</w:t>
            </w:r>
          </w:p>
        </w:tc>
        <w:tc>
          <w:tcPr>
            <w:tcW w:w="1836" w:type="dxa"/>
            <w:shd w:val="clear" w:color="auto" w:fill="F2F2F2" w:themeFill="background1" w:themeFillShade="F2"/>
          </w:tcPr>
          <w:p w:rsidR="006B1FE8" w:rsidRPr="006B1FE8" w:rsidRDefault="006B1FE8" w:rsidP="009D2849">
            <w:pPr>
              <w:contextualSpacing/>
              <w:rPr>
                <w:b/>
              </w:rPr>
            </w:pPr>
            <w:r w:rsidRPr="006B1FE8">
              <w:rPr>
                <w:b/>
              </w:rPr>
              <w:t>Location</w:t>
            </w:r>
          </w:p>
        </w:tc>
        <w:tc>
          <w:tcPr>
            <w:tcW w:w="1836" w:type="dxa"/>
            <w:shd w:val="clear" w:color="auto" w:fill="F2F2F2" w:themeFill="background1" w:themeFillShade="F2"/>
          </w:tcPr>
          <w:p w:rsidR="006B1FE8" w:rsidRPr="006B1FE8" w:rsidRDefault="006B1FE8" w:rsidP="009D2849">
            <w:pPr>
              <w:contextualSpacing/>
              <w:rPr>
                <w:b/>
              </w:rPr>
            </w:pPr>
            <w:r w:rsidRPr="006B1FE8">
              <w:rPr>
                <w:b/>
              </w:rPr>
              <w:t>Compensation</w:t>
            </w:r>
          </w:p>
        </w:tc>
      </w:tr>
      <w:tr w:rsidR="006B1FE8" w:rsidTr="006B1FE8">
        <w:tc>
          <w:tcPr>
            <w:tcW w:w="1098" w:type="dxa"/>
          </w:tcPr>
          <w:p w:rsidR="006B1FE8" w:rsidRDefault="006B1FE8" w:rsidP="009D2849">
            <w:pPr>
              <w:contextualSpacing/>
            </w:pPr>
          </w:p>
        </w:tc>
        <w:tc>
          <w:tcPr>
            <w:tcW w:w="3060" w:type="dxa"/>
          </w:tcPr>
          <w:p w:rsidR="006B1FE8" w:rsidRDefault="006B1FE8" w:rsidP="009D2849">
            <w:pPr>
              <w:contextualSpacing/>
            </w:pPr>
          </w:p>
        </w:tc>
        <w:tc>
          <w:tcPr>
            <w:tcW w:w="1350" w:type="dxa"/>
          </w:tcPr>
          <w:p w:rsidR="006B1FE8" w:rsidRDefault="006B1FE8" w:rsidP="009D2849">
            <w:pPr>
              <w:contextualSpacing/>
            </w:pPr>
          </w:p>
        </w:tc>
        <w:tc>
          <w:tcPr>
            <w:tcW w:w="1836" w:type="dxa"/>
          </w:tcPr>
          <w:p w:rsidR="006B1FE8" w:rsidRDefault="006B1FE8" w:rsidP="009D2849">
            <w:pPr>
              <w:contextualSpacing/>
            </w:pPr>
          </w:p>
        </w:tc>
        <w:tc>
          <w:tcPr>
            <w:tcW w:w="1836" w:type="dxa"/>
          </w:tcPr>
          <w:p w:rsidR="006B1FE8" w:rsidRDefault="006B1FE8" w:rsidP="009D2849">
            <w:pPr>
              <w:contextualSpacing/>
            </w:pPr>
          </w:p>
        </w:tc>
        <w:tc>
          <w:tcPr>
            <w:tcW w:w="1836" w:type="dxa"/>
          </w:tcPr>
          <w:p w:rsidR="006B1FE8" w:rsidRDefault="006B1FE8" w:rsidP="009D2849">
            <w:pPr>
              <w:contextualSpacing/>
            </w:pPr>
          </w:p>
        </w:tc>
      </w:tr>
      <w:tr w:rsidR="006B1FE8" w:rsidTr="006B1FE8">
        <w:tc>
          <w:tcPr>
            <w:tcW w:w="1098" w:type="dxa"/>
          </w:tcPr>
          <w:p w:rsidR="006B1FE8" w:rsidRDefault="006B1FE8" w:rsidP="009D2849">
            <w:pPr>
              <w:contextualSpacing/>
            </w:pPr>
          </w:p>
        </w:tc>
        <w:tc>
          <w:tcPr>
            <w:tcW w:w="3060" w:type="dxa"/>
          </w:tcPr>
          <w:p w:rsidR="006B1FE8" w:rsidRDefault="006B1FE8" w:rsidP="009D2849">
            <w:pPr>
              <w:contextualSpacing/>
            </w:pPr>
          </w:p>
        </w:tc>
        <w:tc>
          <w:tcPr>
            <w:tcW w:w="1350" w:type="dxa"/>
          </w:tcPr>
          <w:p w:rsidR="006B1FE8" w:rsidRDefault="006B1FE8" w:rsidP="009D2849">
            <w:pPr>
              <w:contextualSpacing/>
            </w:pPr>
          </w:p>
        </w:tc>
        <w:tc>
          <w:tcPr>
            <w:tcW w:w="1836" w:type="dxa"/>
          </w:tcPr>
          <w:p w:rsidR="006B1FE8" w:rsidRDefault="006B1FE8" w:rsidP="009D2849">
            <w:pPr>
              <w:contextualSpacing/>
            </w:pPr>
          </w:p>
        </w:tc>
        <w:tc>
          <w:tcPr>
            <w:tcW w:w="1836" w:type="dxa"/>
          </w:tcPr>
          <w:p w:rsidR="006B1FE8" w:rsidRDefault="006B1FE8" w:rsidP="009D2849">
            <w:pPr>
              <w:contextualSpacing/>
            </w:pPr>
          </w:p>
        </w:tc>
        <w:tc>
          <w:tcPr>
            <w:tcW w:w="1836" w:type="dxa"/>
          </w:tcPr>
          <w:p w:rsidR="006B1FE8" w:rsidRDefault="006B1FE8" w:rsidP="009D2849">
            <w:pPr>
              <w:contextualSpacing/>
            </w:pPr>
          </w:p>
        </w:tc>
      </w:tr>
      <w:tr w:rsidR="006B1FE8" w:rsidTr="006B1FE8">
        <w:tc>
          <w:tcPr>
            <w:tcW w:w="1098" w:type="dxa"/>
          </w:tcPr>
          <w:p w:rsidR="006B1FE8" w:rsidRDefault="006B1FE8" w:rsidP="009D2849">
            <w:pPr>
              <w:contextualSpacing/>
            </w:pPr>
          </w:p>
        </w:tc>
        <w:tc>
          <w:tcPr>
            <w:tcW w:w="3060" w:type="dxa"/>
          </w:tcPr>
          <w:p w:rsidR="006B1FE8" w:rsidRDefault="006B1FE8" w:rsidP="009D2849">
            <w:pPr>
              <w:contextualSpacing/>
            </w:pPr>
          </w:p>
        </w:tc>
        <w:tc>
          <w:tcPr>
            <w:tcW w:w="1350" w:type="dxa"/>
          </w:tcPr>
          <w:p w:rsidR="006B1FE8" w:rsidRDefault="006B1FE8" w:rsidP="009D2849">
            <w:pPr>
              <w:contextualSpacing/>
            </w:pPr>
          </w:p>
        </w:tc>
        <w:tc>
          <w:tcPr>
            <w:tcW w:w="1836" w:type="dxa"/>
          </w:tcPr>
          <w:p w:rsidR="006B1FE8" w:rsidRDefault="006B1FE8" w:rsidP="009D2849">
            <w:pPr>
              <w:contextualSpacing/>
            </w:pPr>
          </w:p>
        </w:tc>
        <w:tc>
          <w:tcPr>
            <w:tcW w:w="1836" w:type="dxa"/>
          </w:tcPr>
          <w:p w:rsidR="006B1FE8" w:rsidRDefault="006B1FE8" w:rsidP="009D2849">
            <w:pPr>
              <w:contextualSpacing/>
            </w:pPr>
          </w:p>
        </w:tc>
        <w:tc>
          <w:tcPr>
            <w:tcW w:w="1836" w:type="dxa"/>
          </w:tcPr>
          <w:p w:rsidR="006B1FE8" w:rsidRDefault="006B1FE8" w:rsidP="009D2849">
            <w:pPr>
              <w:contextualSpacing/>
            </w:pPr>
          </w:p>
        </w:tc>
      </w:tr>
    </w:tbl>
    <w:p w:rsidR="006B1FE8" w:rsidRDefault="006B1FE8" w:rsidP="009D2849">
      <w:pPr>
        <w:contextualSpacing/>
      </w:pPr>
      <w:r w:rsidRPr="006B1FE8">
        <w:rPr>
          <w:i/>
          <w:sz w:val="20"/>
          <w:szCs w:val="20"/>
        </w:rPr>
        <w:t>This compensation is based on the Instructor’s degree and total number of credit hours taught and is payable on the last weekday of each calendar month unless otherwise specified</w:t>
      </w:r>
      <w:r>
        <w:t>.</w:t>
      </w:r>
    </w:p>
    <w:p w:rsidR="006B1FE8" w:rsidRPr="006B1FE8" w:rsidRDefault="006B1FE8" w:rsidP="006B1FE8">
      <w:pPr>
        <w:contextualSpacing/>
        <w:jc w:val="center"/>
        <w:rPr>
          <w:b/>
        </w:rPr>
      </w:pPr>
      <w:r w:rsidRPr="006B1FE8">
        <w:rPr>
          <w:b/>
        </w:rPr>
        <w:t>CONDITIONS OF THIS AGREEMENT</w:t>
      </w:r>
    </w:p>
    <w:p w:rsidR="006B1FE8" w:rsidRDefault="006B1FE8" w:rsidP="009D2849">
      <w:pPr>
        <w:contextualSpacing/>
      </w:pPr>
      <w:r>
        <w:t>This agreement is based upon and subject to the following conditions:</w:t>
      </w:r>
    </w:p>
    <w:p w:rsidR="006B1FE8" w:rsidRDefault="006B1FE8" w:rsidP="006B1FE8">
      <w:pPr>
        <w:pStyle w:val="ListParagraph"/>
        <w:numPr>
          <w:ilvl w:val="0"/>
          <w:numId w:val="1"/>
        </w:numPr>
      </w:pPr>
      <w:r>
        <w:t>Satisfactory Enrollment – in the event that the course enrollment falls below the minimum, the decision to proceed with the course will be determined by the Provost’s Office in consultation with the Dean and Department.</w:t>
      </w:r>
    </w:p>
    <w:p w:rsidR="006B1FE8" w:rsidRPr="00F32B4B" w:rsidRDefault="006B1FE8" w:rsidP="006B1FE8">
      <w:pPr>
        <w:pStyle w:val="ListParagraph"/>
        <w:numPr>
          <w:ilvl w:val="0"/>
          <w:numId w:val="1"/>
        </w:numPr>
      </w:pPr>
      <w:r w:rsidRPr="00F32B4B">
        <w:t xml:space="preserve">Should enrollment and budget restraints dictate, it may be necessary that a full-time instructor be assigned to </w:t>
      </w:r>
      <w:proofErr w:type="gramStart"/>
      <w:r w:rsidRPr="00F32B4B">
        <w:t>class(</w:t>
      </w:r>
      <w:proofErr w:type="spellStart"/>
      <w:proofErr w:type="gramEnd"/>
      <w:r w:rsidRPr="00F32B4B">
        <w:t>es</w:t>
      </w:r>
      <w:proofErr w:type="spellEnd"/>
      <w:r w:rsidRPr="00F32B4B">
        <w:t xml:space="preserve">).  In this event, this offer will be withdrawn and you will be notified </w:t>
      </w:r>
      <w:r w:rsidR="004D44E6" w:rsidRPr="00F32B4B">
        <w:t xml:space="preserve">prior to the first class day and no later than the end of the first week of classes.  </w:t>
      </w:r>
    </w:p>
    <w:p w:rsidR="006B1FE8" w:rsidRDefault="006B1FE8" w:rsidP="006B1FE8">
      <w:pPr>
        <w:pStyle w:val="ListParagraph"/>
        <w:numPr>
          <w:ilvl w:val="0"/>
          <w:numId w:val="1"/>
        </w:numPr>
      </w:pPr>
      <w:r>
        <w:t xml:space="preserve">All </w:t>
      </w:r>
      <w:proofErr w:type="gramStart"/>
      <w:r>
        <w:t>faculty</w:t>
      </w:r>
      <w:proofErr w:type="gramEnd"/>
      <w:r>
        <w:t xml:space="preserve"> are responsible to meet their scheduled classes according to published times, days, and assigned room.  If you must be absent or late for a class for any reason, you must contact the Department Head or Director.</w:t>
      </w:r>
    </w:p>
    <w:p w:rsidR="004D44E6" w:rsidRPr="00F32B4B" w:rsidRDefault="004D44E6" w:rsidP="006B1FE8">
      <w:pPr>
        <w:pStyle w:val="ListParagraph"/>
        <w:numPr>
          <w:ilvl w:val="0"/>
          <w:numId w:val="1"/>
        </w:numPr>
        <w:rPr>
          <w:b/>
        </w:rPr>
      </w:pPr>
      <w:r w:rsidRPr="00F32B4B">
        <w:rPr>
          <w:b/>
        </w:rPr>
        <w:t>All employees are required to out process with the Human Resources office upon termination.  Failure to do so could jeopardize future employment with the University.</w:t>
      </w:r>
    </w:p>
    <w:p w:rsidR="006B1FE8" w:rsidRPr="006B1FE8" w:rsidRDefault="006B1FE8" w:rsidP="00003AFF">
      <w:pPr>
        <w:spacing w:after="0"/>
        <w:contextualSpacing/>
        <w:outlineLvl w:val="0"/>
        <w:rPr>
          <w:rFonts w:eastAsia="Times New Roman" w:cs="Helvetica"/>
          <w:b/>
          <w:bCs/>
          <w:color w:val="222222"/>
          <w:spacing w:val="-12"/>
          <w:kern w:val="36"/>
        </w:rPr>
      </w:pPr>
      <w:r w:rsidRPr="006B1FE8">
        <w:rPr>
          <w:rFonts w:eastAsia="Times New Roman" w:cs="Helvetica"/>
          <w:b/>
          <w:bCs/>
          <w:color w:val="222222"/>
          <w:spacing w:val="-12"/>
          <w:kern w:val="36"/>
        </w:rPr>
        <w:t>4.2 Definition of Part-Time</w:t>
      </w:r>
    </w:p>
    <w:p w:rsidR="006B1FE8" w:rsidRPr="006B1FE8" w:rsidRDefault="006B1FE8" w:rsidP="00003AFF">
      <w:pPr>
        <w:spacing w:before="100" w:beforeAutospacing="1" w:after="100" w:afterAutospacing="1"/>
        <w:contextualSpacing/>
        <w:rPr>
          <w:rFonts w:eastAsia="Times New Roman" w:cs="Helvetica"/>
          <w:color w:val="222222"/>
        </w:rPr>
      </w:pPr>
      <w:r w:rsidRPr="006B1FE8">
        <w:rPr>
          <w:rFonts w:eastAsia="Times New Roman" w:cs="Helvetica"/>
          <w:color w:val="222222"/>
        </w:rPr>
        <w:t>Part-time faculty are non-tenured faculty employed less than full time at a single USG institution or at more than one USG institution and are subject to the following conditions:</w:t>
      </w:r>
    </w:p>
    <w:p w:rsidR="006B1FE8" w:rsidRPr="006B1FE8" w:rsidRDefault="006B1FE8" w:rsidP="00003AFF">
      <w:pPr>
        <w:numPr>
          <w:ilvl w:val="0"/>
          <w:numId w:val="2"/>
        </w:numPr>
        <w:spacing w:before="100" w:beforeAutospacing="1" w:after="100" w:afterAutospacing="1"/>
        <w:ind w:left="1320"/>
        <w:contextualSpacing/>
        <w:rPr>
          <w:rFonts w:eastAsia="Times New Roman" w:cs="Helvetica"/>
          <w:color w:val="222222"/>
        </w:rPr>
      </w:pPr>
      <w:r w:rsidRPr="006B1FE8">
        <w:rPr>
          <w:rFonts w:eastAsia="Times New Roman" w:cs="Helvetica"/>
          <w:color w:val="222222"/>
        </w:rPr>
        <w:t xml:space="preserve">Are not accruing time toward tenure </w:t>
      </w:r>
    </w:p>
    <w:p w:rsidR="006B1FE8" w:rsidRPr="006B1FE8" w:rsidRDefault="006B1FE8" w:rsidP="00003AFF">
      <w:pPr>
        <w:numPr>
          <w:ilvl w:val="0"/>
          <w:numId w:val="2"/>
        </w:numPr>
        <w:spacing w:before="100" w:beforeAutospacing="1" w:after="100" w:afterAutospacing="1"/>
        <w:ind w:left="1320"/>
        <w:contextualSpacing/>
        <w:rPr>
          <w:rFonts w:eastAsia="Times New Roman" w:cs="Helvetica"/>
          <w:color w:val="222222"/>
        </w:rPr>
      </w:pPr>
      <w:r w:rsidRPr="006B1FE8">
        <w:rPr>
          <w:rFonts w:eastAsia="Times New Roman" w:cs="Helvetica"/>
          <w:color w:val="222222"/>
        </w:rPr>
        <w:t xml:space="preserve">Are considered temporary appointees, requiring reappointment from year to year </w:t>
      </w:r>
    </w:p>
    <w:p w:rsidR="006B1FE8" w:rsidRPr="006B1FE8" w:rsidRDefault="006B1FE8" w:rsidP="00003AFF">
      <w:pPr>
        <w:numPr>
          <w:ilvl w:val="0"/>
          <w:numId w:val="2"/>
        </w:numPr>
        <w:spacing w:before="100" w:beforeAutospacing="1" w:after="100" w:afterAutospacing="1"/>
        <w:ind w:left="1320"/>
        <w:contextualSpacing/>
        <w:rPr>
          <w:rFonts w:eastAsia="Times New Roman" w:cs="Helvetica"/>
          <w:color w:val="222222"/>
        </w:rPr>
      </w:pPr>
      <w:r w:rsidRPr="006B1FE8">
        <w:rPr>
          <w:rFonts w:eastAsia="Times New Roman" w:cs="Helvetica"/>
          <w:color w:val="222222"/>
        </w:rPr>
        <w:t xml:space="preserve">Are not the same as adjunct (courtesy) faculty appointments </w:t>
      </w:r>
    </w:p>
    <w:p w:rsidR="006B1FE8" w:rsidRPr="006B1FE8" w:rsidRDefault="006B1FE8" w:rsidP="00003AFF">
      <w:pPr>
        <w:numPr>
          <w:ilvl w:val="0"/>
          <w:numId w:val="2"/>
        </w:numPr>
        <w:spacing w:before="100" w:beforeAutospacing="1" w:after="100" w:afterAutospacing="1"/>
        <w:ind w:left="1320"/>
        <w:contextualSpacing/>
        <w:rPr>
          <w:rFonts w:eastAsia="Times New Roman" w:cs="Helvetica"/>
          <w:color w:val="222222"/>
        </w:rPr>
      </w:pPr>
      <w:r w:rsidRPr="006B1FE8">
        <w:rPr>
          <w:rFonts w:eastAsia="Times New Roman" w:cs="Helvetica"/>
          <w:color w:val="222222"/>
        </w:rPr>
        <w:t xml:space="preserve">Are not issued contracts </w:t>
      </w:r>
    </w:p>
    <w:p w:rsidR="006B1FE8" w:rsidRPr="006B1FE8" w:rsidRDefault="006B1FE8" w:rsidP="00003AFF">
      <w:pPr>
        <w:numPr>
          <w:ilvl w:val="0"/>
          <w:numId w:val="2"/>
        </w:numPr>
        <w:spacing w:before="100" w:beforeAutospacing="1" w:after="100" w:afterAutospacing="1"/>
        <w:ind w:left="1320"/>
        <w:contextualSpacing/>
        <w:rPr>
          <w:rFonts w:eastAsia="Times New Roman" w:cs="Helvetica"/>
          <w:color w:val="222222"/>
        </w:rPr>
      </w:pPr>
      <w:r w:rsidRPr="006B1FE8">
        <w:rPr>
          <w:rFonts w:eastAsia="Times New Roman" w:cs="Helvetica"/>
          <w:color w:val="222222"/>
        </w:rPr>
        <w:t xml:space="preserve">Are not eligible for USG benefits </w:t>
      </w:r>
    </w:p>
    <w:p w:rsidR="006B1FE8" w:rsidRPr="006B1FE8" w:rsidRDefault="006B1FE8" w:rsidP="00003AFF">
      <w:pPr>
        <w:numPr>
          <w:ilvl w:val="0"/>
          <w:numId w:val="2"/>
        </w:numPr>
        <w:spacing w:before="100" w:beforeAutospacing="1" w:after="100" w:afterAutospacing="1"/>
        <w:ind w:left="1320"/>
        <w:contextualSpacing/>
        <w:rPr>
          <w:rFonts w:eastAsia="Times New Roman" w:cs="Helvetica"/>
          <w:color w:val="222222"/>
        </w:rPr>
      </w:pPr>
      <w:r w:rsidRPr="006B1FE8">
        <w:rPr>
          <w:rFonts w:eastAsia="Times New Roman" w:cs="Helvetica"/>
          <w:color w:val="222222"/>
        </w:rPr>
        <w:t xml:space="preserve">A part-time faculty member’s employment cannot exceed more than one-half time for the year at a single USG institution. A part-time faculty member teaching at more than one USG institution must limit his/her employment to less than half-time employment across all USG institutions. Upon appointment at a USG institution, part-time faculty will be asked to verify in writing that they are in compliance with this policy. </w:t>
      </w:r>
    </w:p>
    <w:p w:rsidR="00003AFF" w:rsidRDefault="00003AFF" w:rsidP="006B1FE8"/>
    <w:p w:rsidR="00003AFF" w:rsidRDefault="00003AFF" w:rsidP="006B1FE8">
      <w:r>
        <w:t>This agreement is made expressly subject to the applicable State and Federal laws and to the statutes and regulations of this institution and the Bylaws of the Policies of the Board of Regents which are available for your inspection upon request.  Acceptance of this appointment under the terms set forth herein is indicated by signing this agreement.</w:t>
      </w:r>
    </w:p>
    <w:p w:rsidR="00003AFF" w:rsidRDefault="00003AFF" w:rsidP="006B1FE8">
      <w:r>
        <w:t>Part time faculty members employed by Valdosta State University are required to disclose employment at any other institution within the University System of Georgia.  Please list any and all USG institutions (other than VSU) at which you will be employed during the time period covered in this agreement on a separate sheet of paper and attach to this form.</w:t>
      </w:r>
    </w:p>
    <w:p w:rsidR="00003AFF" w:rsidRDefault="00003AFF" w:rsidP="006B1FE8"/>
    <w:p w:rsidR="00003AFF" w:rsidRDefault="00003AFF" w:rsidP="00003AFF">
      <w:pPr>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003AFF" w:rsidRPr="00003AFF" w:rsidRDefault="00003AFF" w:rsidP="00003AFF">
      <w:pPr>
        <w:contextualSpacing/>
      </w:pPr>
      <w:r>
        <w:tab/>
        <w:t>Signature of Part Time Instructor</w:t>
      </w:r>
      <w:r>
        <w:tab/>
      </w:r>
      <w:r>
        <w:tab/>
      </w:r>
      <w:r>
        <w:tab/>
      </w:r>
      <w:r>
        <w:tab/>
      </w:r>
      <w:r>
        <w:tab/>
      </w:r>
      <w:r>
        <w:tab/>
      </w:r>
      <w:r>
        <w:tab/>
        <w:t>Date</w:t>
      </w:r>
    </w:p>
    <w:sectPr w:rsidR="00003AFF" w:rsidRPr="00003AFF" w:rsidSect="009D2849">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329"/>
    <w:multiLevelType w:val="multilevel"/>
    <w:tmpl w:val="9E7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6D6AA6"/>
    <w:multiLevelType w:val="multilevel"/>
    <w:tmpl w:val="3C8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8F58F1"/>
    <w:multiLevelType w:val="hybridMultilevel"/>
    <w:tmpl w:val="AC1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849"/>
    <w:rsid w:val="00003AFF"/>
    <w:rsid w:val="000F1B9B"/>
    <w:rsid w:val="001301B2"/>
    <w:rsid w:val="004D44E6"/>
    <w:rsid w:val="00522EDC"/>
    <w:rsid w:val="005D27B3"/>
    <w:rsid w:val="006B1FE8"/>
    <w:rsid w:val="006B2ECB"/>
    <w:rsid w:val="0078628E"/>
    <w:rsid w:val="009D2849"/>
    <w:rsid w:val="00B8605D"/>
    <w:rsid w:val="00C8206E"/>
    <w:rsid w:val="00DD3D00"/>
    <w:rsid w:val="00F32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B3"/>
  </w:style>
  <w:style w:type="paragraph" w:styleId="Heading1">
    <w:name w:val="heading 1"/>
    <w:basedOn w:val="Normal"/>
    <w:link w:val="Heading1Char"/>
    <w:uiPriority w:val="9"/>
    <w:qFormat/>
    <w:rsid w:val="006B1FE8"/>
    <w:pPr>
      <w:spacing w:after="120"/>
      <w:outlineLvl w:val="0"/>
    </w:pPr>
    <w:rPr>
      <w:rFonts w:ascii="Times New Roman" w:eastAsia="Times New Roman" w:hAnsi="Times New Roman" w:cs="Times New Roman"/>
      <w:b/>
      <w:bCs/>
      <w:spacing w:val="-1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84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1FE8"/>
    <w:pPr>
      <w:ind w:left="720"/>
      <w:contextualSpacing/>
    </w:pPr>
  </w:style>
  <w:style w:type="character" w:customStyle="1" w:styleId="Heading1Char">
    <w:name w:val="Heading 1 Char"/>
    <w:basedOn w:val="DefaultParagraphFont"/>
    <w:link w:val="Heading1"/>
    <w:uiPriority w:val="9"/>
    <w:rsid w:val="006B1FE8"/>
    <w:rPr>
      <w:rFonts w:ascii="Times New Roman" w:eastAsia="Times New Roman" w:hAnsi="Times New Roman" w:cs="Times New Roman"/>
      <w:b/>
      <w:bCs/>
      <w:spacing w:val="-12"/>
      <w:kern w:val="36"/>
      <w:sz w:val="48"/>
      <w:szCs w:val="48"/>
    </w:rPr>
  </w:style>
  <w:style w:type="character" w:styleId="Hyperlink">
    <w:name w:val="Hyperlink"/>
    <w:basedOn w:val="DefaultParagraphFont"/>
    <w:uiPriority w:val="99"/>
    <w:semiHidden/>
    <w:unhideWhenUsed/>
    <w:rsid w:val="006B1FE8"/>
    <w:rPr>
      <w:color w:val="0038A8"/>
      <w:u w:val="single"/>
    </w:rPr>
  </w:style>
  <w:style w:type="character" w:styleId="Emphasis">
    <w:name w:val="Emphasis"/>
    <w:basedOn w:val="DefaultParagraphFont"/>
    <w:uiPriority w:val="20"/>
    <w:qFormat/>
    <w:rsid w:val="006B1FE8"/>
    <w:rPr>
      <w:i/>
      <w:iCs/>
    </w:rPr>
  </w:style>
  <w:style w:type="paragraph" w:styleId="NormalWeb">
    <w:name w:val="Normal (Web)"/>
    <w:basedOn w:val="Normal"/>
    <w:uiPriority w:val="99"/>
    <w:semiHidden/>
    <w:unhideWhenUsed/>
    <w:rsid w:val="006B1FE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4055025">
      <w:bodyDiv w:val="1"/>
      <w:marLeft w:val="0"/>
      <w:marRight w:val="0"/>
      <w:marTop w:val="0"/>
      <w:marBottom w:val="0"/>
      <w:divBdr>
        <w:top w:val="none" w:sz="0" w:space="0" w:color="auto"/>
        <w:left w:val="none" w:sz="0" w:space="0" w:color="auto"/>
        <w:bottom w:val="none" w:sz="0" w:space="0" w:color="auto"/>
        <w:right w:val="none" w:sz="0" w:space="0" w:color="auto"/>
      </w:divBdr>
      <w:divsChild>
        <w:div w:id="394427827">
          <w:marLeft w:val="0"/>
          <w:marRight w:val="0"/>
          <w:marTop w:val="0"/>
          <w:marBottom w:val="0"/>
          <w:divBdr>
            <w:top w:val="none" w:sz="0" w:space="0" w:color="auto"/>
            <w:left w:val="none" w:sz="0" w:space="0" w:color="auto"/>
            <w:bottom w:val="none" w:sz="0" w:space="0" w:color="auto"/>
            <w:right w:val="none" w:sz="0" w:space="0" w:color="auto"/>
          </w:divBdr>
          <w:divsChild>
            <w:div w:id="102773357">
              <w:marLeft w:val="0"/>
              <w:marRight w:val="0"/>
              <w:marTop w:val="0"/>
              <w:marBottom w:val="300"/>
              <w:divBdr>
                <w:top w:val="none" w:sz="0" w:space="0" w:color="auto"/>
                <w:left w:val="none" w:sz="0" w:space="0" w:color="auto"/>
                <w:bottom w:val="none" w:sz="0" w:space="0" w:color="auto"/>
                <w:right w:val="none" w:sz="0" w:space="0" w:color="auto"/>
              </w:divBdr>
              <w:divsChild>
                <w:div w:id="626813869">
                  <w:marLeft w:val="150"/>
                  <w:marRight w:val="150"/>
                  <w:marTop w:val="0"/>
                  <w:marBottom w:val="0"/>
                  <w:divBdr>
                    <w:top w:val="none" w:sz="0" w:space="0" w:color="auto"/>
                    <w:left w:val="none" w:sz="0" w:space="0" w:color="auto"/>
                    <w:bottom w:val="none" w:sz="0" w:space="0" w:color="auto"/>
                    <w:right w:val="none" w:sz="0" w:space="0" w:color="auto"/>
                  </w:divBdr>
                  <w:divsChild>
                    <w:div w:id="1328820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Coppage</dc:creator>
  <cp:keywords/>
  <dc:description/>
  <cp:lastModifiedBy>Honey Coppage</cp:lastModifiedBy>
  <cp:revision>5</cp:revision>
  <dcterms:created xsi:type="dcterms:W3CDTF">2010-06-08T19:53:00Z</dcterms:created>
  <dcterms:modified xsi:type="dcterms:W3CDTF">2011-08-19T12:44:00Z</dcterms:modified>
</cp:coreProperties>
</file>